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60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3"/>
        <w:gridCol w:w="7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15" w:type="dxa"/>
          <w:trHeight w:val="545" w:hRule="atLeast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bookmarkStart w:id="0" w:name="RANGE!A2:E9"/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附件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60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2200" w:firstLineChars="500"/>
              <w:jc w:val="center"/>
              <w:rPr>
                <w:rFonts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ind w:firstLine="2200" w:firstLineChars="500"/>
              <w:jc w:val="center"/>
              <w:rPr>
                <w:rFonts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</w:pPr>
          </w:p>
          <w:p>
            <w:pPr>
              <w:widowControl/>
              <w:ind w:firstLine="880" w:firstLineChars="200"/>
              <w:rPr>
                <w:rFonts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华康简标题宋" w:hAnsi="宋体" w:eastAsia="华康简标题宋" w:cs="宋体"/>
                <w:color w:val="000000"/>
                <w:kern w:val="0"/>
                <w:sz w:val="44"/>
                <w:szCs w:val="44"/>
              </w:rPr>
              <w:t>全国夏季粮油收购工作会议参会回执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115" w:type="dxa"/>
          <w:trHeight w:val="555" w:hRule="atLeast"/>
        </w:trPr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单位：</w:t>
            </w:r>
          </w:p>
          <w:tbl>
            <w:tblPr>
              <w:tblStyle w:val="8"/>
              <w:tblW w:w="8707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80"/>
              <w:gridCol w:w="1121"/>
              <w:gridCol w:w="1121"/>
              <w:gridCol w:w="1121"/>
              <w:gridCol w:w="1932"/>
              <w:gridCol w:w="1932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姓名</w:t>
                  </w:r>
                </w:p>
              </w:tc>
              <w:tc>
                <w:tcPr>
                  <w:tcW w:w="1121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性别</w:t>
                  </w:r>
                </w:p>
              </w:tc>
              <w:tc>
                <w:tcPr>
                  <w:tcW w:w="1121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民族</w:t>
                  </w:r>
                </w:p>
              </w:tc>
              <w:tc>
                <w:tcPr>
                  <w:tcW w:w="1121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职务</w:t>
                  </w:r>
                </w:p>
              </w:tc>
              <w:tc>
                <w:tcPr>
                  <w:tcW w:w="1932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联系方式</w:t>
                  </w:r>
                </w:p>
              </w:tc>
              <w:tc>
                <w:tcPr>
                  <w:tcW w:w="1932" w:type="dxa"/>
                  <w:tcBorders>
                    <w:top w:val="single" w:color="auto" w:sz="8" w:space="0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仿宋_GB2312" w:hAnsi="宋体" w:eastAsia="仿宋_GB2312" w:cs="宋体"/>
                      <w:color w:val="000000"/>
                      <w:kern w:val="0"/>
                      <w:sz w:val="32"/>
                      <w:szCs w:val="32"/>
                    </w:rPr>
                    <w:t>航班、车次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8" w:hRule="atLeast"/>
              </w:trPr>
              <w:tc>
                <w:tcPr>
                  <w:tcW w:w="1480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121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8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  <w:tc>
                <w:tcPr>
                  <w:tcW w:w="1932" w:type="dxa"/>
                  <w:tcBorders>
                    <w:top w:val="nil"/>
                    <w:left w:val="nil"/>
                    <w:bottom w:val="single" w:color="auto" w:sz="8" w:space="0"/>
                    <w:right w:val="nil"/>
                  </w:tcBorders>
                  <w:vAlign w:val="center"/>
                </w:tcPr>
                <w:p>
                  <w:pPr>
                    <w:widowControl/>
                    <w:spacing w:line="600" w:lineRule="exact"/>
                    <w:jc w:val="center"/>
                    <w:rPr>
                      <w:rFonts w:ascii="仿宋_GB2312" w:hAnsi="宋体" w:cs="宋体"/>
                      <w:color w:val="000000"/>
                      <w:kern w:val="0"/>
                      <w:szCs w:val="32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Cs w:val="32"/>
              </w:rPr>
            </w:pPr>
          </w:p>
        </w:tc>
      </w:tr>
    </w:tbl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</w:p>
    <w:p>
      <w:pPr>
        <w:spacing w:line="240" w:lineRule="exact"/>
        <w:ind w:left="840" w:hanging="840" w:hangingChars="300"/>
        <w:rPr>
          <w:rFonts w:ascii="仿宋_GB2312"/>
          <w:sz w:val="28"/>
          <w:szCs w:val="28"/>
        </w:rPr>
      </w:pP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6D"/>
    <w:rsid w:val="00037A8A"/>
    <w:rsid w:val="00087ACA"/>
    <w:rsid w:val="000B1892"/>
    <w:rsid w:val="000C569F"/>
    <w:rsid w:val="001023B9"/>
    <w:rsid w:val="00420333"/>
    <w:rsid w:val="00440681"/>
    <w:rsid w:val="00456FFF"/>
    <w:rsid w:val="00457201"/>
    <w:rsid w:val="00591DAF"/>
    <w:rsid w:val="005B49C0"/>
    <w:rsid w:val="005E2F3A"/>
    <w:rsid w:val="006105A5"/>
    <w:rsid w:val="00613045"/>
    <w:rsid w:val="00733429"/>
    <w:rsid w:val="007A05E9"/>
    <w:rsid w:val="00820A93"/>
    <w:rsid w:val="008414B4"/>
    <w:rsid w:val="00844DAF"/>
    <w:rsid w:val="008E6377"/>
    <w:rsid w:val="009364A4"/>
    <w:rsid w:val="00950483"/>
    <w:rsid w:val="009E786D"/>
    <w:rsid w:val="00A31448"/>
    <w:rsid w:val="00AB7DC1"/>
    <w:rsid w:val="00B32046"/>
    <w:rsid w:val="00B6019C"/>
    <w:rsid w:val="00B6386A"/>
    <w:rsid w:val="00BF253A"/>
    <w:rsid w:val="00C45216"/>
    <w:rsid w:val="00C51F85"/>
    <w:rsid w:val="00C83C79"/>
    <w:rsid w:val="00CA252B"/>
    <w:rsid w:val="00CF1859"/>
    <w:rsid w:val="00D7597C"/>
    <w:rsid w:val="00DA523C"/>
    <w:rsid w:val="00DB7E3B"/>
    <w:rsid w:val="00E56F62"/>
    <w:rsid w:val="00E90FCA"/>
    <w:rsid w:val="00EF1437"/>
    <w:rsid w:val="00F24B9B"/>
    <w:rsid w:val="00F62254"/>
    <w:rsid w:val="00F75DE5"/>
    <w:rsid w:val="00F763AB"/>
    <w:rsid w:val="00FA253D"/>
    <w:rsid w:val="063941DD"/>
    <w:rsid w:val="0A4422E6"/>
    <w:rsid w:val="0D3A6AC1"/>
    <w:rsid w:val="10B57445"/>
    <w:rsid w:val="11C01A3F"/>
    <w:rsid w:val="128D43FF"/>
    <w:rsid w:val="12DE0827"/>
    <w:rsid w:val="145F2713"/>
    <w:rsid w:val="17AD748F"/>
    <w:rsid w:val="2B004F19"/>
    <w:rsid w:val="2D0D4F5B"/>
    <w:rsid w:val="39C12EAA"/>
    <w:rsid w:val="443759BD"/>
    <w:rsid w:val="47021733"/>
    <w:rsid w:val="59B15E17"/>
    <w:rsid w:val="5AC82FFD"/>
    <w:rsid w:val="5CBA4AB1"/>
    <w:rsid w:val="6C974A38"/>
    <w:rsid w:val="74A521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paragraph" w:styleId="3">
    <w:name w:val="heading 5"/>
    <w:basedOn w:val="1"/>
    <w:next w:val="1"/>
    <w:unhideWhenUsed/>
    <w:qFormat/>
    <w:uiPriority w:val="0"/>
    <w:pPr>
      <w:spacing w:beforeAutospacing="1" w:afterAutospacing="1"/>
      <w:jc w:val="left"/>
      <w:outlineLvl w:val="4"/>
    </w:pPr>
    <w:rPr>
      <w:rFonts w:hint="eastAsia" w:ascii="宋体" w:hAnsi="宋体" w:eastAsia="宋体" w:cs="Times New Roman"/>
      <w:b/>
      <w:kern w:val="0"/>
      <w:sz w:val="20"/>
      <w:szCs w:val="20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15"/>
    <w:qFormat/>
    <w:uiPriority w:val="0"/>
    <w:rPr>
      <w:rFonts w:ascii="宋体" w:eastAsia="宋体"/>
      <w:sz w:val="18"/>
      <w:szCs w:val="18"/>
    </w:rPr>
  </w:style>
  <w:style w:type="paragraph" w:styleId="5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paragraph" w:customStyle="1" w:styleId="11">
    <w:name w:val="Char"/>
    <w:basedOn w:val="4"/>
    <w:qFormat/>
    <w:uiPriority w:val="0"/>
    <w:pPr>
      <w:shd w:val="clear" w:color="auto" w:fill="000080"/>
    </w:pPr>
    <w:rPr>
      <w:rFonts w:ascii="Tahoma" w:hAnsi="Tahoma" w:cs="Times New Roman"/>
      <w:sz w:val="24"/>
      <w:szCs w:val="24"/>
    </w:rPr>
  </w:style>
  <w:style w:type="paragraph" w:customStyle="1" w:styleId="12">
    <w:name w:val="Char1"/>
    <w:basedOn w:val="4"/>
    <w:qFormat/>
    <w:uiPriority w:val="0"/>
    <w:pPr>
      <w:shd w:val="clear" w:color="auto" w:fill="000080"/>
    </w:pPr>
    <w:rPr>
      <w:rFonts w:ascii="Tahoma" w:hAnsi="Tahoma" w:cs="Times New Roman"/>
      <w:sz w:val="24"/>
      <w:szCs w:val="24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4">
    <w:name w:val="页脚 Char"/>
    <w:basedOn w:val="9"/>
    <w:link w:val="5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5">
    <w:name w:val="文档结构图 Char"/>
    <w:basedOn w:val="9"/>
    <w:link w:val="4"/>
    <w:uiPriority w:val="0"/>
    <w:rPr>
      <w:rFonts w:ascii="宋体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182</Words>
  <Characters>1040</Characters>
  <Lines>8</Lines>
  <Paragraphs>2</Paragraphs>
  <TotalTime>1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jhcbc</dc:creator>
  <cp:lastModifiedBy>Administrator</cp:lastModifiedBy>
  <cp:lastPrinted>2019-05-05T01:39:00Z</cp:lastPrinted>
  <dcterms:modified xsi:type="dcterms:W3CDTF">2019-05-06T06:36:39Z</dcterms:modified>
  <dc:title>国粮办发〔2019〕126号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