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16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pacing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bidi="ar"/>
        </w:rPr>
        <w:t>第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 w:bidi="ar"/>
        </w:rPr>
        <w:t>六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bidi="ar"/>
        </w:rPr>
        <w:t>届全国粮食行业职业技能竞赛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bidi="ar"/>
        </w:rPr>
        <w:t>优秀组织奖评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 w:bidi="ar"/>
        </w:rPr>
        <w:t>分细则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02" w:firstLineChars="200"/>
        <w:textAlignment w:val="auto"/>
        <w:outlineLvl w:val="9"/>
        <w:rPr>
          <w:rFonts w:ascii="仿宋_GB2312" w:hAnsi="Times New Roman" w:eastAsia="仿宋_GB2312" w:cs="仿宋_GB2312"/>
          <w:b/>
          <w:sz w:val="30"/>
          <w:szCs w:val="30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outlineLvl w:val="9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一、领导重视（6分）。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各地区（单位）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成立竞赛相关组织领导机构，指导协调竞赛工作得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2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分；各参赛代表队领队为局领导，联络员为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牵头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部门负责人得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2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分；竞赛有专项经费，能够满足竞赛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活动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需</w:t>
      </w:r>
      <w:bookmarkStart w:id="0" w:name="_GoBack"/>
      <w:bookmarkEnd w:id="0"/>
      <w:r>
        <w:rPr>
          <w:rFonts w:ascii="仿宋_GB2312" w:hAnsi="Times New Roman" w:eastAsia="仿宋_GB2312" w:cs="仿宋_GB2312"/>
          <w:sz w:val="32"/>
          <w:szCs w:val="32"/>
          <w:lang w:bidi="ar"/>
        </w:rPr>
        <w:t>要得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2分；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否则不得分。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二、宣传报道（1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bidi="ar"/>
        </w:rPr>
        <w:t>0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分）。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各地区（单位）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广泛采用多种形式对竞赛有关内容进行宣传报道，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采用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一种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形式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1分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（如通过新闻媒体、官方网站及公众号报道等）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，此项小计5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分；官网设有竞赛专栏或有系列报道的得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5分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（如选拔赛赛讯、优秀选手风采、竞赛动态、图片展示等）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；未对竞赛有关活动进行任何报道的不得分。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（需提供多种形式宣传报道材料，如简报、报纸、网站截图等，官网系列报道应不少于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5次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三、省级初赛（1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bidi="ar"/>
        </w:rPr>
        <w:t>8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分）。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各地区（单位）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组织省级初赛得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5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分；联合省级人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社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部门开展初赛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得2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联合省工会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或其他相关部门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开展初赛的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2分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；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竞赛规程、制度等齐全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（不少于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5个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的得5分；对获奖选手有激励措施的得4分；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未开展省级初赛不得分。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（需提供竞赛通知、激励措施方面相关材料等）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四、选手选拔（3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bidi="ar"/>
        </w:rPr>
        <w:t>0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分）。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各地区（单位）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对竞赛选手进行层层选拔，组织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6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0%以上的地市（单位）开展选拔赛得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30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分；组织30%以上的地市（单位）开展选拔赛得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15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分；组织地市（单位）级选拔赛，但比例未达到30%得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10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分；未组织地市（单位）开展选拔赛不得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分。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（需提供各级竞赛有关通知、表彰文件等材料）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outlineLvl w:val="9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五、选手集训（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bidi="ar"/>
        </w:rPr>
        <w:t>8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分）。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各地区（单位）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组织决赛选手脱产集中培训一个月以上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的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8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分，半个月以上的得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5分，不足半个月的得3分；组织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非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脱产集训的得1分；未组织参赛选手集训的不得分。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（需提供相关通知文件等材料）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六、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eastAsia="zh-CN" w:bidi="ar"/>
        </w:rPr>
        <w:t>初赛成果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展示（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 w:bidi="ar"/>
        </w:rPr>
        <w:t>6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分）。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各地区（单位）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按时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上报省级初赛成果展示材料得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报送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材料齐全准确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的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4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分；未参加竞赛初赛成果展不得分。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（未组织省级初赛单位需提供人才队伍建设方面的素材）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outlineLvl w:val="9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七、代表队报名（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 w:bidi="ar"/>
        </w:rPr>
        <w:t>7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分）。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各地区（单位）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按规定时间报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送代表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队信息的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得2分；代表队信息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准确、材料齐全的得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分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（含决赛选手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个人情况简介、证件照、工作照等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）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，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报名后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更改的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扣3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分；未按时报名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以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及材料不准确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、不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齐全的不得分。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outlineLvl w:val="9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八、裁判员推荐（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bidi="ar"/>
        </w:rPr>
        <w:t>10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分）。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各地区（单位）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按要求推荐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且材料齐全得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2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分；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裁判员培训班期间，服从竞赛组委会统一安排（如按时集合、培训期间上交手机，积极参加考核等），此项小计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6分；各代表队考核通过1人得2分，此项小计2分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outlineLvl w:val="9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九、团体成绩（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bidi="ar"/>
        </w:rPr>
        <w:t>5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分）。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各地区（单位）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代表队获得团体总分第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至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名得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5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分，第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至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名得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4分，第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至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名得3分，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第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名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（含）以后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得2分。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十、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bidi="ar"/>
        </w:rPr>
        <w:t>附加</w:t>
      </w: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项。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各地区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单位）没有系统直属院校，但组织系统外院校参赛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加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5分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643" w:firstLineChars="200"/>
        <w:textAlignment w:val="auto"/>
        <w:outlineLvl w:val="9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ascii="仿宋_GB2312" w:hAnsi="Times New Roman" w:eastAsia="仿宋_GB2312" w:cs="仿宋_GB2312"/>
          <w:b/>
          <w:bCs/>
          <w:sz w:val="32"/>
          <w:szCs w:val="32"/>
          <w:lang w:bidi="ar"/>
        </w:rPr>
        <w:t>十一、否定项。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各地区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单位）参赛选手在竞赛决赛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期间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，发生不服从竞赛组委会安排、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赛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场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舞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弊、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 w:bidi="ar"/>
        </w:rPr>
        <w:t>选手携带手机进入赛场、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顶撞裁判、扰乱竞赛秩序等严重违反竞赛纪律或竞赛规则行为的，取消优秀组织奖评选资格。</w:t>
      </w:r>
    </w:p>
    <w:p/>
    <w:sectPr>
      <w:pgSz w:w="11906" w:h="16838"/>
      <w:pgMar w:top="1531" w:right="1800" w:bottom="209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296B26E6"/>
    <w:rsid w:val="296B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2023-09-13T03:14:00Z</dcterms:created>
  <dc:creator>feley</dc:creator>
  <cp:lastModifiedBy>feley</cp:lastModifiedBy>
  <dcterms:modified xsi:type="dcterms:W3CDTF">2023-09-13T03:15:52Z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1FC08EAA29AC4B2AA390784F63258521_11</vt:lpwstr>
  </property>
</Properties>
</file>