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before="312" w:beforeLines="100"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第六届全国粮食行业职业技能竞赛</w:t>
      </w:r>
    </w:p>
    <w:p>
      <w:pPr>
        <w:spacing w:after="312" w:afterLines="100"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拟选定仪器设备清单</w:t>
      </w:r>
    </w:p>
    <w:tbl>
      <w:tblPr>
        <w:tblStyle w:val="4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8"/>
        <w:gridCol w:w="3367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仪器设备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型号/规格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宋体" w:eastAsia="黑体" w:cs="宋体"/>
                <w:kern w:val="0"/>
                <w:sz w:val="30"/>
                <w:szCs w:val="30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轴流通风机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CZTY-400</w:t>
            </w:r>
          </w:p>
        </w:tc>
        <w:tc>
          <w:tcPr>
            <w:tcW w:w="249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河南未来机电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气体检测箱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CQY5</w:t>
            </w: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空气呼吸器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PSS 3600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德尔格安全设备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电子天平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PTF-A300U、PTF-B5000U、PTY-A220U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华志（福建）电子科技有限公司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液相色谱仪 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Essentia LC-16</w:t>
            </w:r>
          </w:p>
        </w:tc>
        <w:tc>
          <w:tcPr>
            <w:tcW w:w="249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岛津（中国）有限公司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C18系列液相色谱柱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——</w:t>
            </w: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微量注射器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100</w:t>
            </w:r>
            <w:r>
              <w:rPr>
                <w:rFonts w:eastAsia="仿宋_GB2312"/>
                <w:kern w:val="0"/>
                <w:sz w:val="28"/>
                <w:szCs w:val="28"/>
              </w:rPr>
              <w:t>µL</w:t>
            </w: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电动谷物筛选器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JJSD</w:t>
            </w:r>
          </w:p>
        </w:tc>
        <w:tc>
          <w:tcPr>
            <w:tcW w:w="249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上海嘉定粮油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仪器有限公司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谷物选筛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JJSG22×12</w:t>
            </w: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分样板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30cm×15cm</w:t>
            </w:r>
          </w:p>
        </w:tc>
        <w:tc>
          <w:tcPr>
            <w:tcW w:w="249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浙江伯利恒仪器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分样器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BLH-6100A加大号</w:t>
            </w: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振荡器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BLH-2952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（用于</w:t>
            </w:r>
            <w:r>
              <w:rPr>
                <w:rFonts w:hint="eastAsia" w:eastAsia="仿宋_GB2312"/>
                <w:kern w:val="0"/>
                <w:szCs w:val="21"/>
              </w:rPr>
              <w:t>稻谷脂肪酸值的测定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）</w:t>
            </w: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adjustRightInd w:val="0"/>
        <w:snapToGrid w:val="0"/>
        <w:jc w:val="center"/>
        <w:rPr>
          <w:rFonts w:hint="eastAsia" w:ascii="仿宋_GB2312" w:hAnsi="宋体" w:eastAsia="仿宋_GB2312" w:cs="宋体"/>
          <w:kern w:val="0"/>
          <w:sz w:val="28"/>
          <w:szCs w:val="28"/>
        </w:rPr>
        <w:sectPr>
          <w:footerReference r:id="rId5" w:type="default"/>
          <w:pgSz w:w="11907" w:h="16840"/>
          <w:pgMar w:top="2155" w:right="1588" w:bottom="1588" w:left="1588" w:header="851" w:footer="1588" w:gutter="0"/>
          <w:pgNumType w:start="1"/>
          <w:cols w:space="425" w:num="1"/>
          <w:docGrid w:linePitch="435" w:charSpace="0"/>
        </w:sectPr>
      </w:pPr>
    </w:p>
    <w:tbl>
      <w:tblPr>
        <w:tblStyle w:val="4"/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8"/>
        <w:gridCol w:w="3367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振荡器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BLH-2950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(用于粮食中真菌毒素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的液相色谱法定量分析)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实验砻谷机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JLG-III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中储粮成都储藏研究院有限公司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容重器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HGT-1000A</w:t>
            </w:r>
          </w:p>
        </w:tc>
        <w:tc>
          <w:tcPr>
            <w:tcW w:w="249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8"/>
                <w:kern w:val="0"/>
                <w:sz w:val="28"/>
                <w:szCs w:val="28"/>
              </w:rPr>
              <w:t>上海东方衡器有限公司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氮吹仪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HMG-D24或HMG-D12</w:t>
            </w:r>
          </w:p>
        </w:tc>
        <w:tc>
          <w:tcPr>
            <w:tcW w:w="249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北京华安麦科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8"/>
                <w:szCs w:val="28"/>
              </w:rPr>
              <w:t>固相萃取装置（带空气泵）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HMG-QS或HMG-QP</w:t>
            </w:r>
          </w:p>
        </w:tc>
        <w:tc>
          <w:tcPr>
            <w:tcW w:w="24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免疫亲和柱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HCM0625B或HCM0650B</w:t>
            </w:r>
          </w:p>
        </w:tc>
        <w:tc>
          <w:tcPr>
            <w:tcW w:w="249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99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涡旋器</w:t>
            </w:r>
          </w:p>
        </w:tc>
        <w:tc>
          <w:tcPr>
            <w:tcW w:w="336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HMG-MV</w:t>
            </w:r>
          </w:p>
        </w:tc>
        <w:tc>
          <w:tcPr>
            <w:tcW w:w="2497" w:type="dxa"/>
            <w:vMerge w:val="continue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hint="eastAsia" w:ascii="黑体" w:eastAsia="黑体"/>
          <w:sz w:val="32"/>
          <w:szCs w:val="32"/>
        </w:rPr>
      </w:pPr>
    </w:p>
    <w:p/>
    <w:p>
      <w:pPr>
        <w:rPr>
          <w:rFonts w:hint="eastAsia"/>
        </w:rPr>
      </w:pPr>
    </w:p>
    <w:p>
      <w:pPr>
        <w:adjustRightInd w:val="0"/>
        <w:snapToGrid w:val="0"/>
        <w:rPr>
          <w:rFonts w:hint="eastAsia" w:ascii="仿宋_GB2312" w:hAnsi="宋体"/>
          <w:sz w:val="24"/>
          <w:szCs w:val="32"/>
        </w:rPr>
      </w:pPr>
    </w:p>
    <w:p>
      <w:pPr>
        <w:adjustRightInd w:val="0"/>
        <w:snapToGrid w:val="0"/>
        <w:rPr>
          <w:rFonts w:hint="eastAsia" w:ascii="仿宋_GB2312" w:hAnsi="宋体"/>
          <w:sz w:val="24"/>
          <w:szCs w:val="32"/>
        </w:rPr>
      </w:pPr>
    </w:p>
    <w:p>
      <w:pPr>
        <w:adjustRightInd w:val="0"/>
        <w:snapToGrid w:val="0"/>
        <w:rPr>
          <w:rFonts w:hint="eastAsia" w:ascii="仿宋_GB2312" w:hAnsi="宋体"/>
          <w:sz w:val="24"/>
          <w:szCs w:val="32"/>
        </w:rPr>
      </w:pPr>
      <w:r>
        <w:rPr>
          <w:rFonts w:hint="eastAsia" w:ascii="仿宋_GB2312" w:hAnsi="宋体"/>
          <w:sz w:val="24"/>
          <w:szCs w:val="32"/>
        </w:rPr>
        <w:t xml:space="preserve">                                                                                                             </w:t>
      </w:r>
    </w:p>
    <w:p>
      <w:pPr>
        <w:spacing w:line="520" w:lineRule="exact"/>
        <w:ind w:firstLine="420" w:firstLineChars="150"/>
        <w:rPr>
          <w:rFonts w:hint="eastAsia" w:ascii="仿宋_GB2312"/>
          <w:sz w:val="28"/>
          <w:szCs w:val="28"/>
        </w:rPr>
      </w:pPr>
    </w:p>
    <w:p>
      <w:pPr>
        <w:spacing w:line="520" w:lineRule="exact"/>
        <w:ind w:firstLine="420" w:firstLineChars="150"/>
        <w:rPr>
          <w:rFonts w:hint="eastAsia" w:ascii="仿宋_GB2312"/>
          <w:sz w:val="28"/>
          <w:szCs w:val="28"/>
        </w:rPr>
      </w:pPr>
    </w:p>
    <w:p>
      <w:pPr>
        <w:spacing w:line="520" w:lineRule="exact"/>
        <w:ind w:firstLine="420" w:firstLineChars="150"/>
        <w:rPr>
          <w:rFonts w:hint="eastAsia" w:ascii="仿宋_GB2312"/>
          <w:sz w:val="28"/>
          <w:szCs w:val="28"/>
        </w:rPr>
      </w:pPr>
    </w:p>
    <w:p>
      <w:pPr>
        <w:spacing w:line="520" w:lineRule="exact"/>
        <w:ind w:firstLine="420" w:firstLineChars="150"/>
        <w:rPr>
          <w:rFonts w:hint="eastAsia" w:ascii="仿宋_GB2312"/>
          <w:sz w:val="28"/>
          <w:szCs w:val="28"/>
        </w:rPr>
      </w:pPr>
    </w:p>
    <w:p>
      <w:pPr>
        <w:spacing w:line="520" w:lineRule="exact"/>
        <w:ind w:firstLine="420" w:firstLineChars="150"/>
        <w:rPr>
          <w:rFonts w:hint="eastAsia" w:ascii="仿宋_GB2312"/>
          <w:sz w:val="28"/>
          <w:szCs w:val="28"/>
        </w:rPr>
      </w:pPr>
    </w:p>
    <w:p>
      <w:bookmarkStart w:id="0" w:name="_GoBack"/>
      <w:bookmarkEnd w:id="0"/>
    </w:p>
    <w:sectPr>
      <w:footerReference r:id="rId6" w:type="default"/>
      <w:pgSz w:w="11907" w:h="16840"/>
      <w:pgMar w:top="2155" w:right="1588" w:bottom="1588" w:left="1588" w:header="851" w:footer="1588" w:gutter="0"/>
      <w:pgNumType w:start="1"/>
      <w:cols w:space="425" w:num="1"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330B20DF"/>
    <w:rsid w:val="330B20DF"/>
    <w:rsid w:val="6044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2023-09-26T07:45:00Z</dcterms:created>
  <dc:creator>feley</dc:creator>
  <cp:lastModifiedBy>feley</cp:lastModifiedBy>
  <dcterms:modified xsi:type="dcterms:W3CDTF">2023-09-26T07:47:05Z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BF78800D49204E3C97A01D9935DA9476_11</vt:lpwstr>
  </property>
</Properties>
</file>